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36325" w14:textId="6A1D320F" w:rsidR="00644107" w:rsidRDefault="00644107" w:rsidP="00644107">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w:t>
      </w:r>
      <w:r w:rsidR="007A0658">
        <w:rPr>
          <w:b/>
          <w:noProof/>
          <w:sz w:val="24"/>
        </w:rPr>
        <w:t>3</w:t>
      </w:r>
      <w:r>
        <w:rPr>
          <w:b/>
          <w:noProof/>
          <w:sz w:val="24"/>
        </w:rPr>
        <w:t>-e</w:t>
      </w:r>
      <w:r>
        <w:rPr>
          <w:b/>
          <w:i/>
          <w:noProof/>
          <w:sz w:val="28"/>
        </w:rPr>
        <w:tab/>
      </w:r>
      <w:r w:rsidR="00FB28AB">
        <w:rPr>
          <w:b/>
          <w:i/>
          <w:noProof/>
          <w:sz w:val="28"/>
        </w:rPr>
        <w:t xml:space="preserve">  </w:t>
      </w:r>
      <w:r w:rsidR="00FB28AB" w:rsidRPr="00FB28AB">
        <w:rPr>
          <w:b/>
          <w:i/>
          <w:noProof/>
          <w:sz w:val="28"/>
        </w:rPr>
        <w:t>R4-</w:t>
      </w:r>
      <w:r w:rsidR="00A44C4F" w:rsidRPr="00A44C4F">
        <w:t xml:space="preserve"> </w:t>
      </w:r>
      <w:r w:rsidR="00A44C4F" w:rsidRPr="00A44C4F">
        <w:rPr>
          <w:b/>
          <w:i/>
          <w:noProof/>
          <w:sz w:val="28"/>
        </w:rPr>
        <w:t>2208850</w:t>
      </w:r>
    </w:p>
    <w:bookmarkEnd w:id="0"/>
    <w:p w14:paraId="618F67E5" w14:textId="44F6DB1D" w:rsidR="00644107" w:rsidRDefault="00644107" w:rsidP="00644107">
      <w:pPr>
        <w:pStyle w:val="CRCoverPage"/>
        <w:outlineLvl w:val="0"/>
        <w:rPr>
          <w:b/>
          <w:noProof/>
          <w:sz w:val="24"/>
        </w:rPr>
      </w:pPr>
      <w:r w:rsidRPr="00C71A48">
        <w:rPr>
          <w:b/>
          <w:bCs/>
          <w:noProof/>
          <w:sz w:val="24"/>
        </w:rPr>
        <w:t>Electronic Meeting,</w:t>
      </w:r>
      <w:r w:rsidR="00224219">
        <w:rPr>
          <w:b/>
          <w:bCs/>
          <w:noProof/>
          <w:sz w:val="24"/>
        </w:rPr>
        <w:t xml:space="preserve"> 9</w:t>
      </w:r>
      <w:r w:rsidRPr="00EF08F5">
        <w:rPr>
          <w:b/>
          <w:bCs/>
          <w:noProof/>
          <w:sz w:val="24"/>
          <w:vertAlign w:val="superscript"/>
        </w:rPr>
        <w:t>th</w:t>
      </w:r>
      <w:r>
        <w:rPr>
          <w:b/>
          <w:bCs/>
          <w:noProof/>
          <w:sz w:val="24"/>
        </w:rPr>
        <w:t xml:space="preserve"> </w:t>
      </w:r>
      <w:r w:rsidR="00224219">
        <w:rPr>
          <w:b/>
          <w:bCs/>
          <w:noProof/>
          <w:sz w:val="24"/>
        </w:rPr>
        <w:t>May</w:t>
      </w:r>
      <w:r>
        <w:rPr>
          <w:b/>
          <w:bCs/>
          <w:noProof/>
          <w:sz w:val="24"/>
        </w:rPr>
        <w:t xml:space="preserve"> </w:t>
      </w:r>
      <w:r w:rsidRPr="004253E1">
        <w:rPr>
          <w:b/>
          <w:noProof/>
          <w:sz w:val="24"/>
        </w:rPr>
        <w:t xml:space="preserve">to </w:t>
      </w:r>
      <w:r w:rsidR="00224219">
        <w:rPr>
          <w:b/>
          <w:noProof/>
          <w:sz w:val="24"/>
        </w:rPr>
        <w:t>20</w:t>
      </w:r>
      <w:r w:rsidR="00224219" w:rsidRPr="00224219">
        <w:rPr>
          <w:b/>
          <w:noProof/>
          <w:sz w:val="24"/>
          <w:vertAlign w:val="superscript"/>
        </w:rPr>
        <w:t>th</w:t>
      </w:r>
      <w:r w:rsidR="00224219">
        <w:rPr>
          <w:b/>
          <w:noProof/>
          <w:sz w:val="24"/>
        </w:rPr>
        <w:t xml:space="preserve"> </w:t>
      </w:r>
      <w:r>
        <w:rPr>
          <w:b/>
          <w:noProof/>
          <w:sz w:val="24"/>
        </w:rPr>
        <w:t>Ma</w:t>
      </w:r>
      <w:r w:rsidR="00224219">
        <w:rPr>
          <w:b/>
          <w:noProof/>
          <w:sz w:val="24"/>
        </w:rPr>
        <w:t>y</w:t>
      </w:r>
      <w:r>
        <w:rPr>
          <w:b/>
          <w:noProof/>
          <w:sz w:val="24"/>
        </w:rPr>
        <w:t>, 2022</w:t>
      </w:r>
    </w:p>
    <w:p w14:paraId="6B5C5D26" w14:textId="77777777" w:rsidR="005508CF" w:rsidRPr="00644107" w:rsidRDefault="005508CF" w:rsidP="005508CF">
      <w:pPr>
        <w:pStyle w:val="aff3"/>
        <w:rPr>
          <w:rFonts w:eastAsia="SimSun" w:cs="Arial"/>
          <w:b w:val="0"/>
          <w:lang w:eastAsia="zh-CN"/>
        </w:rPr>
      </w:pPr>
    </w:p>
    <w:p w14:paraId="516E7A55" w14:textId="194FC0E1"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B07581">
        <w:rPr>
          <w:rFonts w:ascii="Arial" w:eastAsia="SimSun" w:hAnsi="Arial" w:cs="Arial"/>
          <w:sz w:val="22"/>
          <w:lang w:eastAsia="zh-CN"/>
        </w:rPr>
        <w:t>8.31.4</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05796862"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31F1">
        <w:rPr>
          <w:rFonts w:ascii="Arial" w:hAnsi="Arial" w:cs="Arial"/>
          <w:sz w:val="22"/>
        </w:rPr>
        <w:t>Continue d</w:t>
      </w:r>
      <w:r w:rsidR="003A190C" w:rsidRPr="003A190C">
        <w:rPr>
          <w:rFonts w:ascii="Arial" w:eastAsia="SimSun" w:hAnsi="Arial" w:cs="Arial"/>
          <w:sz w:val="22"/>
          <w:lang w:eastAsia="zh-CN"/>
        </w:rPr>
        <w:t xml:space="preserve">iscussion on </w:t>
      </w:r>
      <w:r w:rsidR="00253C76">
        <w:rPr>
          <w:rFonts w:ascii="Arial" w:eastAsia="SimSun" w:hAnsi="Arial" w:cs="Arial"/>
          <w:sz w:val="22"/>
          <w:lang w:eastAsia="zh-CN"/>
        </w:rPr>
        <w:t>simultaneous Rx/Tx</w:t>
      </w:r>
    </w:p>
    <w:p w14:paraId="76F33498" w14:textId="278ED399"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85804">
        <w:rPr>
          <w:rFonts w:ascii="Arial" w:eastAsia="SimSun" w:hAnsi="Arial" w:cs="Arial"/>
          <w:sz w:val="22"/>
          <w:lang w:eastAsia="zh-CN"/>
        </w:rPr>
        <w:t>Discussion</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1FEA271" w14:textId="03156137" w:rsidR="00E62C7E" w:rsidRPr="003C5250" w:rsidRDefault="006A2231" w:rsidP="00806D71">
      <w:pPr>
        <w:suppressAutoHyphens/>
        <w:spacing w:after="120" w:line="300" w:lineRule="atLeast"/>
        <w:jc w:val="both"/>
        <w:rPr>
          <w:lang w:eastAsia="zh-TW"/>
        </w:rPr>
      </w:pPr>
      <w:r>
        <w:t xml:space="preserve">The topic has been discussed for several meetings. Due to UE implementation constraint, TDD+TDD or </w:t>
      </w:r>
      <w:r w:rsidR="00ED5576">
        <w:t xml:space="preserve">FDD+TDD combinations to support simultaneous Rx/Tx has been discussed </w:t>
      </w:r>
      <w:r>
        <w:t>separately</w:t>
      </w:r>
      <w:r w:rsidR="00ED5576">
        <w:t xml:space="preserve"> and different approach has been raised. But it was difficult to get consensus on the MSD threshold. In this contribution we continue the discussion</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f"/>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f"/>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5A7012EA" w14:textId="6AE1A311" w:rsidR="006A2231" w:rsidRPr="006A2231" w:rsidRDefault="006A2231" w:rsidP="00334C05">
      <w:pPr>
        <w:pBdr>
          <w:bottom w:val="single" w:sz="6" w:space="2" w:color="auto"/>
        </w:pBdr>
        <w:rPr>
          <w:rFonts w:ascii="Arial" w:eastAsia="新細明體" w:hAnsi="Arial" w:cs="Arial"/>
          <w:bCs/>
          <w:iCs/>
          <w:sz w:val="32"/>
          <w:szCs w:val="32"/>
          <w:lang w:eastAsia="zh-TW"/>
        </w:rPr>
      </w:pPr>
      <w:r w:rsidRPr="006A2231">
        <w:rPr>
          <w:rFonts w:ascii="Arial" w:eastAsia="新細明體" w:hAnsi="Arial" w:cs="Arial"/>
          <w:bCs/>
          <w:iCs/>
          <w:sz w:val="32"/>
          <w:szCs w:val="32"/>
          <w:lang w:eastAsia="zh-TW"/>
        </w:rPr>
        <w:t>2.1</w:t>
      </w:r>
      <w:r>
        <w:rPr>
          <w:rFonts w:ascii="Arial" w:eastAsia="新細明體" w:hAnsi="Arial" w:cs="Arial"/>
          <w:bCs/>
          <w:iCs/>
          <w:sz w:val="32"/>
          <w:szCs w:val="32"/>
          <w:lang w:eastAsia="zh-TW"/>
        </w:rPr>
        <w:t xml:space="preserve"> FDD+TDD</w:t>
      </w:r>
    </w:p>
    <w:p w14:paraId="41385760" w14:textId="7FF44E62" w:rsidR="003F462B" w:rsidRDefault="00834CF4" w:rsidP="00334C05">
      <w:pPr>
        <w:pBdr>
          <w:bottom w:val="single" w:sz="6" w:space="2" w:color="auto"/>
        </w:pBdr>
        <w:rPr>
          <w:rFonts w:eastAsia="新細明體"/>
          <w:bCs/>
          <w:iCs/>
          <w:sz w:val="22"/>
          <w:szCs w:val="22"/>
          <w:lang w:eastAsia="zh-TW"/>
        </w:rPr>
      </w:pPr>
      <w:r>
        <w:rPr>
          <w:rFonts w:eastAsia="新細明體"/>
          <w:bCs/>
          <w:iCs/>
          <w:sz w:val="22"/>
          <w:szCs w:val="22"/>
          <w:lang w:eastAsia="zh-TW"/>
        </w:rPr>
        <w:t xml:space="preserve">In previous meeting, [2] was agreed. We are not sure the intension to </w:t>
      </w:r>
      <w:r w:rsidR="006A2231">
        <w:rPr>
          <w:rFonts w:eastAsia="新細明體"/>
          <w:bCs/>
          <w:iCs/>
          <w:sz w:val="22"/>
          <w:szCs w:val="22"/>
          <w:lang w:eastAsia="zh-TW"/>
        </w:rPr>
        <w:t>mandate</w:t>
      </w:r>
      <w:r>
        <w:rPr>
          <w:rFonts w:eastAsia="新細明體"/>
          <w:bCs/>
          <w:iCs/>
          <w:sz w:val="22"/>
          <w:szCs w:val="22"/>
          <w:lang w:eastAsia="zh-TW"/>
        </w:rPr>
        <w:t xml:space="preserve"> UE to support simultaneous Rx/Tx</w:t>
      </w:r>
      <w:r w:rsidR="00320FE2">
        <w:rPr>
          <w:rFonts w:eastAsia="新細明體"/>
          <w:bCs/>
          <w:iCs/>
          <w:sz w:val="22"/>
          <w:szCs w:val="22"/>
          <w:lang w:eastAsia="zh-TW"/>
        </w:rPr>
        <w:t xml:space="preserve"> for FDD+TDD combinations. </w:t>
      </w:r>
      <w:r w:rsidR="00320FE2" w:rsidRPr="00320FE2">
        <w:rPr>
          <w:rFonts w:eastAsia="新細明體"/>
          <w:bCs/>
          <w:iCs/>
          <w:sz w:val="22"/>
          <w:szCs w:val="22"/>
          <w:lang w:eastAsia="zh-TW"/>
        </w:rPr>
        <w:t>It should be emphasized that if a certain combination is not defined as mandatory</w:t>
      </w:r>
      <w:r w:rsidR="006A2231">
        <w:rPr>
          <w:rFonts w:eastAsia="新細明體"/>
          <w:bCs/>
          <w:iCs/>
          <w:sz w:val="22"/>
          <w:szCs w:val="22"/>
          <w:lang w:eastAsia="zh-TW"/>
        </w:rPr>
        <w:t xml:space="preserve"> simultaneous Rx/Tx</w:t>
      </w:r>
      <w:r w:rsidR="00320FE2" w:rsidRPr="00320FE2">
        <w:rPr>
          <w:rFonts w:eastAsia="新細明體"/>
          <w:bCs/>
          <w:iCs/>
          <w:sz w:val="22"/>
          <w:szCs w:val="22"/>
          <w:lang w:eastAsia="zh-TW"/>
        </w:rPr>
        <w:t xml:space="preserve">, it does not mean that the UE cannot support </w:t>
      </w:r>
      <w:r w:rsidR="006A2231">
        <w:rPr>
          <w:rFonts w:eastAsia="新細明體"/>
          <w:bCs/>
          <w:iCs/>
          <w:sz w:val="22"/>
          <w:szCs w:val="22"/>
          <w:lang w:eastAsia="zh-TW"/>
        </w:rPr>
        <w:t>the capability</w:t>
      </w:r>
      <w:r w:rsidR="00320FE2" w:rsidRPr="00320FE2">
        <w:rPr>
          <w:rFonts w:eastAsia="新細明體"/>
          <w:bCs/>
          <w:iCs/>
          <w:sz w:val="22"/>
          <w:szCs w:val="22"/>
          <w:lang w:eastAsia="zh-TW"/>
        </w:rPr>
        <w:t>. It just means that the UE is not forced to support this capability.</w:t>
      </w:r>
      <w:r w:rsidR="00320FE2">
        <w:rPr>
          <w:rFonts w:eastAsia="新細明體"/>
          <w:bCs/>
          <w:iCs/>
          <w:sz w:val="22"/>
          <w:szCs w:val="22"/>
          <w:lang w:eastAsia="zh-TW"/>
        </w:rPr>
        <w:t xml:space="preserve"> In general, we can agree UE </w:t>
      </w:r>
      <w:r w:rsidR="0080392B">
        <w:rPr>
          <w:rFonts w:eastAsia="新細明體"/>
          <w:bCs/>
          <w:iCs/>
          <w:sz w:val="22"/>
          <w:szCs w:val="22"/>
          <w:lang w:eastAsia="zh-TW"/>
        </w:rPr>
        <w:t>is capable for</w:t>
      </w:r>
      <w:r w:rsidR="00320FE2">
        <w:rPr>
          <w:rFonts w:eastAsia="新細明體"/>
          <w:bCs/>
          <w:iCs/>
          <w:sz w:val="22"/>
          <w:szCs w:val="22"/>
          <w:lang w:eastAsia="zh-TW"/>
        </w:rPr>
        <w:t xml:space="preserve"> simultaneous Rx/Tx for </w:t>
      </w:r>
      <w:r w:rsidR="006A2231">
        <w:rPr>
          <w:rFonts w:eastAsia="新細明體"/>
          <w:bCs/>
          <w:iCs/>
          <w:sz w:val="22"/>
          <w:szCs w:val="22"/>
          <w:lang w:eastAsia="zh-TW"/>
        </w:rPr>
        <w:t>FDD+TDD</w:t>
      </w:r>
      <w:r w:rsidR="00320FE2">
        <w:rPr>
          <w:rFonts w:eastAsia="新細明體"/>
          <w:bCs/>
          <w:iCs/>
          <w:sz w:val="22"/>
          <w:szCs w:val="22"/>
          <w:lang w:eastAsia="zh-TW"/>
        </w:rPr>
        <w:t xml:space="preserve"> configuration. But to mandate the capability is another thing. It may have backward compatibility</w:t>
      </w:r>
      <w:r w:rsidR="006C3796">
        <w:rPr>
          <w:rFonts w:eastAsia="新細明體"/>
          <w:bCs/>
          <w:iCs/>
          <w:sz w:val="22"/>
          <w:szCs w:val="22"/>
          <w:lang w:eastAsia="zh-TW"/>
        </w:rPr>
        <w:t xml:space="preserve"> </w:t>
      </w:r>
      <w:r w:rsidR="0080392B">
        <w:rPr>
          <w:rFonts w:eastAsia="新細明體"/>
          <w:bCs/>
          <w:iCs/>
          <w:sz w:val="22"/>
          <w:szCs w:val="22"/>
          <w:lang w:eastAsia="zh-TW"/>
        </w:rPr>
        <w:t xml:space="preserve">as well as </w:t>
      </w:r>
      <w:r w:rsidR="006C3796">
        <w:rPr>
          <w:rFonts w:eastAsia="新細明體"/>
          <w:bCs/>
          <w:iCs/>
          <w:sz w:val="22"/>
          <w:szCs w:val="22"/>
          <w:lang w:eastAsia="zh-TW"/>
        </w:rPr>
        <w:t>front-end configuration</w:t>
      </w:r>
      <w:r w:rsidR="0080392B">
        <w:rPr>
          <w:rFonts w:eastAsia="新細明體"/>
          <w:bCs/>
          <w:iCs/>
          <w:sz w:val="22"/>
          <w:szCs w:val="22"/>
          <w:lang w:eastAsia="zh-TW"/>
        </w:rPr>
        <w:t xml:space="preserve"> design</w:t>
      </w:r>
      <w:r w:rsidR="006C3796">
        <w:rPr>
          <w:rFonts w:eastAsia="新細明體"/>
          <w:bCs/>
          <w:iCs/>
          <w:sz w:val="22"/>
          <w:szCs w:val="22"/>
          <w:lang w:eastAsia="zh-TW"/>
        </w:rPr>
        <w:t xml:space="preserve"> impact</w:t>
      </w:r>
      <w:r w:rsidR="00320FE2">
        <w:rPr>
          <w:rFonts w:eastAsia="新細明體"/>
          <w:bCs/>
          <w:iCs/>
          <w:sz w:val="22"/>
          <w:szCs w:val="22"/>
          <w:lang w:eastAsia="zh-TW"/>
        </w:rPr>
        <w:t xml:space="preserve"> on the UEs thus in our view for those combination that are</w:t>
      </w:r>
      <w:r w:rsidR="0080392B">
        <w:rPr>
          <w:rFonts w:eastAsia="新細明體"/>
          <w:bCs/>
          <w:iCs/>
          <w:sz w:val="22"/>
          <w:szCs w:val="22"/>
          <w:lang w:eastAsia="zh-TW"/>
        </w:rPr>
        <w:t xml:space="preserve"> already</w:t>
      </w:r>
      <w:r w:rsidR="00320FE2">
        <w:rPr>
          <w:rFonts w:eastAsia="新細明體"/>
          <w:bCs/>
          <w:iCs/>
          <w:sz w:val="22"/>
          <w:szCs w:val="22"/>
          <w:lang w:eastAsia="zh-TW"/>
        </w:rPr>
        <w:t xml:space="preserve"> specified in previous release (R15/R16), they shall not be specified supporting mandatory simultaneous Rx/Tx. If some combinations ha</w:t>
      </w:r>
      <w:r w:rsidR="006C3796">
        <w:rPr>
          <w:rFonts w:eastAsia="新細明體"/>
          <w:bCs/>
          <w:iCs/>
          <w:sz w:val="22"/>
          <w:szCs w:val="22"/>
          <w:lang w:eastAsia="zh-TW"/>
        </w:rPr>
        <w:t>ve</w:t>
      </w:r>
      <w:r w:rsidR="00320FE2">
        <w:rPr>
          <w:rFonts w:eastAsia="新細明體"/>
          <w:bCs/>
          <w:iCs/>
          <w:sz w:val="22"/>
          <w:szCs w:val="22"/>
          <w:lang w:eastAsia="zh-TW"/>
        </w:rPr>
        <w:t xml:space="preserve"> to be mandated</w:t>
      </w:r>
      <w:r w:rsidR="0080392B">
        <w:rPr>
          <w:rFonts w:eastAsia="新細明體"/>
          <w:bCs/>
          <w:iCs/>
          <w:sz w:val="22"/>
          <w:szCs w:val="22"/>
          <w:lang w:eastAsia="zh-TW"/>
        </w:rPr>
        <w:t xml:space="preserve"> supporting</w:t>
      </w:r>
      <w:r w:rsidR="00320FE2">
        <w:rPr>
          <w:rFonts w:eastAsia="新細明體"/>
          <w:bCs/>
          <w:iCs/>
          <w:sz w:val="22"/>
          <w:szCs w:val="22"/>
          <w:lang w:eastAsia="zh-TW"/>
        </w:rPr>
        <w:t xml:space="preserve"> simultaneous Rx/Tx, they shall be checked case by case manner.</w:t>
      </w:r>
    </w:p>
    <w:p w14:paraId="5499C76C" w14:textId="593A844A" w:rsidR="0080392B" w:rsidRPr="0080392B" w:rsidRDefault="0080392B" w:rsidP="00334C05">
      <w:pPr>
        <w:pBdr>
          <w:bottom w:val="single" w:sz="6" w:space="2" w:color="auto"/>
        </w:pBdr>
        <w:rPr>
          <w:rFonts w:eastAsia="新細明體"/>
          <w:b/>
          <w:i/>
          <w:sz w:val="22"/>
          <w:szCs w:val="22"/>
          <w:lang w:eastAsia="zh-TW"/>
        </w:rPr>
      </w:pPr>
      <w:r>
        <w:rPr>
          <w:rFonts w:eastAsia="新細明體"/>
          <w:b/>
          <w:i/>
          <w:sz w:val="22"/>
          <w:szCs w:val="22"/>
          <w:lang w:eastAsia="zh-TW"/>
        </w:rPr>
        <w:t>Observation 1: Mandatory simultaneous Rx/Tx capability may have impact on UE implementation</w:t>
      </w:r>
    </w:p>
    <w:p w14:paraId="1E055F3F" w14:textId="19CF7C17" w:rsidR="00ED5576" w:rsidRDefault="0080392B" w:rsidP="00334C05">
      <w:pPr>
        <w:pBdr>
          <w:bottom w:val="single" w:sz="6" w:space="2" w:color="auto"/>
        </w:pBdr>
        <w:rPr>
          <w:rFonts w:eastAsia="新細明體"/>
          <w:bCs/>
          <w:iCs/>
          <w:sz w:val="22"/>
          <w:szCs w:val="22"/>
          <w:lang w:eastAsia="zh-TW"/>
        </w:rPr>
      </w:pPr>
      <w:r>
        <w:rPr>
          <w:rFonts w:eastAsia="新細明體" w:hint="eastAsia"/>
          <w:bCs/>
          <w:iCs/>
          <w:sz w:val="22"/>
          <w:szCs w:val="22"/>
          <w:lang w:eastAsia="zh-TW"/>
        </w:rPr>
        <w:t>M</w:t>
      </w:r>
      <w:r>
        <w:rPr>
          <w:rFonts w:eastAsia="新細明體"/>
          <w:bCs/>
          <w:iCs/>
          <w:sz w:val="22"/>
          <w:szCs w:val="22"/>
          <w:lang w:eastAsia="zh-TW"/>
        </w:rPr>
        <w:t>SD for different mechanisms have been characterized when one combination is specified. Simultaneous Rx/Tx operation is implicitly evaluated if there’s MSD specified.</w:t>
      </w:r>
      <w:r w:rsidR="00AD6499">
        <w:rPr>
          <w:rFonts w:eastAsia="新細明體"/>
          <w:bCs/>
          <w:iCs/>
          <w:sz w:val="22"/>
          <w:szCs w:val="22"/>
          <w:lang w:eastAsia="zh-TW"/>
        </w:rPr>
        <w:t xml:space="preserve"> This does not mean MSD threshold can directly bundle with mandatory simultaneous Rx/Tx capability. The main concern is front-end architecture thus we don’t think MSD threshold shall be the index to decide mandatory simultaneous Rx/Tx capability.</w:t>
      </w:r>
    </w:p>
    <w:p w14:paraId="00A0AD72" w14:textId="51F84249" w:rsidR="00C138B8" w:rsidRPr="00AD6499" w:rsidRDefault="00AD6499" w:rsidP="00334C05">
      <w:pPr>
        <w:pBdr>
          <w:bottom w:val="single" w:sz="6" w:space="2" w:color="auto"/>
        </w:pBdr>
        <w:rPr>
          <w:rFonts w:eastAsia="新細明體"/>
          <w:b/>
          <w:i/>
          <w:sz w:val="22"/>
          <w:szCs w:val="22"/>
          <w:lang w:eastAsia="zh-TW"/>
        </w:rPr>
      </w:pPr>
      <w:r w:rsidRPr="00AD6499">
        <w:rPr>
          <w:rFonts w:eastAsia="新細明體"/>
          <w:b/>
          <w:i/>
          <w:sz w:val="22"/>
          <w:szCs w:val="22"/>
          <w:lang w:eastAsia="zh-TW"/>
        </w:rPr>
        <w:t>Proposal 1:</w:t>
      </w:r>
      <w:r>
        <w:rPr>
          <w:rFonts w:eastAsia="新細明體"/>
          <w:b/>
          <w:i/>
          <w:sz w:val="22"/>
          <w:szCs w:val="22"/>
          <w:lang w:eastAsia="zh-TW"/>
        </w:rPr>
        <w:t xml:space="preserve"> No need to specify MSD threshold for mandatory simultaneous Rx/Tx capability. The capability shall be specified case by case manner.</w:t>
      </w:r>
    </w:p>
    <w:p w14:paraId="3EE642EE" w14:textId="7575ED98" w:rsidR="0080392B" w:rsidRDefault="006A2231" w:rsidP="00334C05">
      <w:pPr>
        <w:pBdr>
          <w:bottom w:val="single" w:sz="6" w:space="2" w:color="auto"/>
        </w:pBdr>
        <w:rPr>
          <w:rFonts w:eastAsia="新細明體"/>
          <w:bCs/>
          <w:iCs/>
          <w:sz w:val="22"/>
          <w:szCs w:val="22"/>
          <w:lang w:eastAsia="zh-TW"/>
        </w:rPr>
      </w:pPr>
      <w:r>
        <w:rPr>
          <w:rFonts w:eastAsia="新細明體"/>
          <w:bCs/>
          <w:iCs/>
          <w:sz w:val="22"/>
          <w:szCs w:val="22"/>
          <w:lang w:eastAsia="zh-TW"/>
        </w:rPr>
        <w:t>From UE implementation consideration,</w:t>
      </w:r>
      <w:r w:rsidR="0022687D">
        <w:rPr>
          <w:rFonts w:eastAsia="新細明體"/>
          <w:bCs/>
          <w:iCs/>
          <w:sz w:val="22"/>
          <w:szCs w:val="22"/>
          <w:lang w:eastAsia="zh-TW"/>
        </w:rPr>
        <w:t xml:space="preserve"> if the bands are not in close-in frequency</w:t>
      </w:r>
      <w:r w:rsidR="00C138B8">
        <w:rPr>
          <w:rFonts w:eastAsia="新細明體"/>
          <w:bCs/>
          <w:iCs/>
          <w:sz w:val="22"/>
          <w:szCs w:val="22"/>
          <w:lang w:eastAsia="zh-TW"/>
        </w:rPr>
        <w:t xml:space="preserve"> range</w:t>
      </w:r>
      <w:r w:rsidR="0022687D">
        <w:rPr>
          <w:rFonts w:eastAsia="新細明體"/>
          <w:bCs/>
          <w:iCs/>
          <w:sz w:val="22"/>
          <w:szCs w:val="22"/>
          <w:lang w:eastAsia="zh-TW"/>
        </w:rPr>
        <w:t>, there is no technical difficulty for the band combo to support simultaneous Rx/Tx. These bands can be put under same antenna switch with diplexer or can use separate antenna configuration. But for</w:t>
      </w:r>
      <w:r>
        <w:rPr>
          <w:rFonts w:eastAsia="新細明體"/>
          <w:bCs/>
          <w:iCs/>
          <w:sz w:val="22"/>
          <w:szCs w:val="22"/>
          <w:lang w:eastAsia="zh-TW"/>
        </w:rPr>
        <w:t xml:space="preserve"> the bands in close frequency range</w:t>
      </w:r>
      <w:r w:rsidR="00C138B8">
        <w:rPr>
          <w:rFonts w:eastAsia="新細明體"/>
          <w:bCs/>
          <w:iCs/>
          <w:sz w:val="22"/>
          <w:szCs w:val="22"/>
          <w:lang w:eastAsia="zh-TW"/>
        </w:rPr>
        <w:t>, they</w:t>
      </w:r>
      <w:r>
        <w:rPr>
          <w:rFonts w:eastAsia="新細明體"/>
          <w:bCs/>
          <w:iCs/>
          <w:sz w:val="22"/>
          <w:szCs w:val="22"/>
          <w:lang w:eastAsia="zh-TW"/>
        </w:rPr>
        <w:t xml:space="preserve"> would be put on same antenna switch by nature</w:t>
      </w:r>
      <w:r w:rsidR="0022687D">
        <w:rPr>
          <w:rFonts w:eastAsia="新細明體"/>
          <w:bCs/>
          <w:iCs/>
          <w:sz w:val="22"/>
          <w:szCs w:val="22"/>
          <w:lang w:eastAsia="zh-TW"/>
        </w:rPr>
        <w:t>, ex. Bands n1, n2, n3, n4/n66, n34, n39 may be put under same antenna switch. Thus for the FDD+TDD composed with close</w:t>
      </w:r>
      <w:r w:rsidR="00C138B8">
        <w:rPr>
          <w:rFonts w:eastAsia="新細明體"/>
          <w:bCs/>
          <w:iCs/>
          <w:sz w:val="22"/>
          <w:szCs w:val="22"/>
          <w:lang w:eastAsia="zh-TW"/>
        </w:rPr>
        <w:t>-in</w:t>
      </w:r>
      <w:r w:rsidR="0022687D">
        <w:rPr>
          <w:rFonts w:eastAsia="新細明體"/>
          <w:bCs/>
          <w:iCs/>
          <w:sz w:val="22"/>
          <w:szCs w:val="22"/>
          <w:lang w:eastAsia="zh-TW"/>
        </w:rPr>
        <w:t xml:space="preserve"> frequency bands, it shall be carefully evaluated. </w:t>
      </w:r>
    </w:p>
    <w:p w14:paraId="54A88B5D" w14:textId="44525686" w:rsidR="006A2231" w:rsidRPr="006A2231" w:rsidRDefault="006A2231" w:rsidP="006A2231">
      <w:pPr>
        <w:pBdr>
          <w:bottom w:val="single" w:sz="6" w:space="2" w:color="auto"/>
        </w:pBdr>
        <w:rPr>
          <w:rFonts w:ascii="Arial" w:eastAsia="新細明體" w:hAnsi="Arial" w:cs="Arial"/>
          <w:bCs/>
          <w:iCs/>
          <w:sz w:val="32"/>
          <w:szCs w:val="32"/>
          <w:lang w:eastAsia="zh-TW"/>
        </w:rPr>
      </w:pPr>
      <w:r w:rsidRPr="006A2231">
        <w:rPr>
          <w:rFonts w:ascii="Arial" w:eastAsia="新細明體" w:hAnsi="Arial" w:cs="Arial"/>
          <w:bCs/>
          <w:iCs/>
          <w:sz w:val="32"/>
          <w:szCs w:val="32"/>
          <w:lang w:eastAsia="zh-TW"/>
        </w:rPr>
        <w:t>2.</w:t>
      </w:r>
      <w:r>
        <w:rPr>
          <w:rFonts w:ascii="Arial" w:eastAsia="新細明體" w:hAnsi="Arial" w:cs="Arial"/>
          <w:bCs/>
          <w:iCs/>
          <w:sz w:val="32"/>
          <w:szCs w:val="32"/>
          <w:lang w:eastAsia="zh-TW"/>
        </w:rPr>
        <w:t>2 TDD+TDD</w:t>
      </w:r>
    </w:p>
    <w:p w14:paraId="3C42981B" w14:textId="08055547" w:rsidR="00AD6499" w:rsidRDefault="00C138B8" w:rsidP="00334C05">
      <w:pPr>
        <w:pBdr>
          <w:bottom w:val="single" w:sz="6" w:space="2" w:color="auto"/>
        </w:pBdr>
        <w:rPr>
          <w:rFonts w:eastAsia="新細明體"/>
          <w:bCs/>
          <w:iCs/>
          <w:sz w:val="22"/>
          <w:szCs w:val="22"/>
          <w:lang w:eastAsia="zh-TW"/>
        </w:rPr>
      </w:pPr>
      <w:r>
        <w:rPr>
          <w:rFonts w:eastAsia="新細明體" w:hint="eastAsia"/>
          <w:bCs/>
          <w:iCs/>
          <w:sz w:val="22"/>
          <w:szCs w:val="22"/>
          <w:lang w:eastAsia="zh-TW"/>
        </w:rPr>
        <w:t>W</w:t>
      </w:r>
      <w:r>
        <w:rPr>
          <w:rFonts w:eastAsia="新細明體"/>
          <w:bCs/>
          <w:iCs/>
          <w:sz w:val="22"/>
          <w:szCs w:val="22"/>
          <w:lang w:eastAsia="zh-TW"/>
        </w:rPr>
        <w:t xml:space="preserve">ith same consideration on </w:t>
      </w:r>
      <w:r w:rsidR="009B3A5D">
        <w:rPr>
          <w:rFonts w:eastAsia="新細明體"/>
          <w:bCs/>
          <w:iCs/>
          <w:sz w:val="22"/>
          <w:szCs w:val="22"/>
          <w:lang w:eastAsia="zh-TW"/>
        </w:rPr>
        <w:t xml:space="preserve">front-end architecture impact relative to </w:t>
      </w:r>
      <w:r>
        <w:rPr>
          <w:rFonts w:eastAsia="新細明體"/>
          <w:bCs/>
          <w:iCs/>
          <w:sz w:val="22"/>
          <w:szCs w:val="22"/>
          <w:lang w:eastAsia="zh-TW"/>
        </w:rPr>
        <w:t xml:space="preserve">frequency range of operation bands, it shall be noticed that for the TDD+TDD bands </w:t>
      </w:r>
      <w:r w:rsidR="00211EC5">
        <w:rPr>
          <w:rFonts w:eastAsia="新細明體" w:hint="eastAsia"/>
          <w:bCs/>
          <w:iCs/>
          <w:sz w:val="22"/>
          <w:szCs w:val="22"/>
          <w:lang w:eastAsia="zh-TW"/>
        </w:rPr>
        <w:t>t</w:t>
      </w:r>
      <w:r w:rsidR="00211EC5">
        <w:rPr>
          <w:rFonts w:eastAsia="新細明體"/>
          <w:bCs/>
          <w:iCs/>
          <w:sz w:val="22"/>
          <w:szCs w:val="22"/>
          <w:lang w:eastAsia="zh-TW"/>
        </w:rPr>
        <w:t xml:space="preserve">hat </w:t>
      </w:r>
      <w:r>
        <w:rPr>
          <w:rFonts w:eastAsia="新細明體"/>
          <w:bCs/>
          <w:iCs/>
          <w:sz w:val="22"/>
          <w:szCs w:val="22"/>
          <w:lang w:eastAsia="zh-TW"/>
        </w:rPr>
        <w:t xml:space="preserve">are in close-in frequency range, the combo does not support simultaneous Rx/Tx due to front-end configuration and filter design constraint. Same condition shall be applied to the </w:t>
      </w:r>
      <w:r w:rsidR="00D20B12">
        <w:rPr>
          <w:rFonts w:eastAsia="新細明體"/>
          <w:bCs/>
          <w:iCs/>
          <w:sz w:val="22"/>
          <w:szCs w:val="22"/>
          <w:lang w:eastAsia="zh-TW"/>
        </w:rPr>
        <w:t>corresponding SUL/SDL band combos to avoid UE implementation ambiguity.</w:t>
      </w:r>
      <w:r w:rsidR="0037179C">
        <w:rPr>
          <w:rFonts w:eastAsia="新細明體"/>
          <w:bCs/>
          <w:iCs/>
          <w:sz w:val="22"/>
          <w:szCs w:val="22"/>
          <w:lang w:eastAsia="zh-TW"/>
        </w:rPr>
        <w:t xml:space="preserve"> </w:t>
      </w:r>
      <w:r w:rsidR="00AD4C3D">
        <w:rPr>
          <w:rFonts w:eastAsia="新細明體"/>
          <w:bCs/>
          <w:iCs/>
          <w:sz w:val="22"/>
          <w:szCs w:val="22"/>
          <w:lang w:eastAsia="zh-TW"/>
        </w:rPr>
        <w:t xml:space="preserve">Considering CA_n40-n41, the two bands were </w:t>
      </w:r>
      <w:r w:rsidR="00A917CB">
        <w:rPr>
          <w:rFonts w:eastAsia="新細明體"/>
          <w:bCs/>
          <w:iCs/>
          <w:sz w:val="22"/>
          <w:szCs w:val="22"/>
          <w:lang w:eastAsia="zh-TW"/>
        </w:rPr>
        <w:t xml:space="preserve">usually </w:t>
      </w:r>
      <w:r w:rsidR="00AD4C3D">
        <w:rPr>
          <w:rFonts w:eastAsia="新細明體"/>
          <w:bCs/>
          <w:iCs/>
          <w:sz w:val="22"/>
          <w:szCs w:val="22"/>
          <w:lang w:eastAsia="zh-TW"/>
        </w:rPr>
        <w:t>put under same antenna switch intuitively since it does not require simultaneous Rx/Tx operation. That said, m</w:t>
      </w:r>
      <w:r w:rsidR="0037179C">
        <w:rPr>
          <w:rFonts w:eastAsia="新細明體"/>
          <w:bCs/>
          <w:iCs/>
          <w:sz w:val="22"/>
          <w:szCs w:val="22"/>
          <w:lang w:eastAsia="zh-TW"/>
        </w:rPr>
        <w:t xml:space="preserve">andatory simultaneous Rx/Tx was not required for CA_n40-n41 but </w:t>
      </w:r>
      <w:r w:rsidR="00AD4C3D">
        <w:rPr>
          <w:rFonts w:eastAsia="新細明體"/>
          <w:bCs/>
          <w:iCs/>
          <w:sz w:val="22"/>
          <w:szCs w:val="22"/>
          <w:lang w:eastAsia="zh-TW"/>
        </w:rPr>
        <w:t xml:space="preserve">it </w:t>
      </w:r>
      <w:r w:rsidR="0037179C">
        <w:rPr>
          <w:rFonts w:eastAsia="新細明體"/>
          <w:bCs/>
          <w:iCs/>
          <w:sz w:val="22"/>
          <w:szCs w:val="22"/>
          <w:lang w:eastAsia="zh-TW"/>
        </w:rPr>
        <w:t xml:space="preserve">was required for </w:t>
      </w:r>
      <w:bookmarkStart w:id="3" w:name="_Hlk99540569"/>
      <w:r w:rsidR="0037179C" w:rsidRPr="0037179C">
        <w:rPr>
          <w:rFonts w:eastAsia="新細明體"/>
          <w:bCs/>
          <w:iCs/>
          <w:sz w:val="22"/>
          <w:szCs w:val="22"/>
          <w:lang w:eastAsia="zh-TW"/>
        </w:rPr>
        <w:t>SUL_n41-n95</w:t>
      </w:r>
      <w:bookmarkEnd w:id="3"/>
      <w:r w:rsidR="0037179C">
        <w:rPr>
          <w:rFonts w:eastAsia="新細明體"/>
          <w:bCs/>
          <w:iCs/>
          <w:sz w:val="22"/>
          <w:szCs w:val="22"/>
          <w:lang w:eastAsia="zh-TW"/>
        </w:rPr>
        <w:t>. Such requirement may result in hardware control failure if front-end is designed based on CA_n40-n41.</w:t>
      </w:r>
      <w:r w:rsidR="00AD4C3D">
        <w:rPr>
          <w:rFonts w:eastAsia="新細明體"/>
          <w:bCs/>
          <w:iCs/>
          <w:sz w:val="22"/>
          <w:szCs w:val="22"/>
          <w:lang w:eastAsia="zh-TW"/>
        </w:rPr>
        <w:t xml:space="preserve"> Further, </w:t>
      </w:r>
      <w:r w:rsidR="00290F5E">
        <w:rPr>
          <w:rFonts w:eastAsia="新細明體"/>
          <w:bCs/>
          <w:iCs/>
          <w:sz w:val="22"/>
          <w:szCs w:val="22"/>
          <w:lang w:eastAsia="zh-TW"/>
        </w:rPr>
        <w:t>to support the capability, the two</w:t>
      </w:r>
      <w:r w:rsidR="00F232E4">
        <w:rPr>
          <w:rFonts w:eastAsia="新細明體"/>
          <w:bCs/>
          <w:iCs/>
          <w:sz w:val="22"/>
          <w:szCs w:val="22"/>
          <w:lang w:eastAsia="zh-TW"/>
        </w:rPr>
        <w:t xml:space="preserve"> TDD</w:t>
      </w:r>
      <w:r w:rsidR="00290F5E">
        <w:rPr>
          <w:rFonts w:eastAsia="新細明體"/>
          <w:bCs/>
          <w:iCs/>
          <w:sz w:val="22"/>
          <w:szCs w:val="22"/>
          <w:lang w:eastAsia="zh-TW"/>
        </w:rPr>
        <w:t xml:space="preserve"> bands need to be put in separate antennas. n41 is mandatory to have 4RX antennas thus </w:t>
      </w:r>
      <w:r w:rsidR="00AD4C3D">
        <w:rPr>
          <w:rFonts w:eastAsia="新細明體"/>
          <w:bCs/>
          <w:iCs/>
          <w:sz w:val="22"/>
          <w:szCs w:val="22"/>
          <w:lang w:eastAsia="zh-TW"/>
        </w:rPr>
        <w:t>the number of high-band antenna may be increased to 6 or 8 antennas</w:t>
      </w:r>
      <w:r w:rsidR="00290F5E">
        <w:rPr>
          <w:rFonts w:eastAsia="新細明體"/>
          <w:bCs/>
          <w:iCs/>
          <w:sz w:val="22"/>
          <w:szCs w:val="22"/>
          <w:lang w:eastAsia="zh-TW"/>
        </w:rPr>
        <w:t xml:space="preserve"> (n40 is optional to support 4RX). It is difficult for smart phone implementation to support the capability due to limited space for antennas.</w:t>
      </w:r>
      <w:r w:rsidR="008D1126">
        <w:rPr>
          <w:rFonts w:eastAsia="新細明體"/>
          <w:bCs/>
          <w:iCs/>
          <w:sz w:val="22"/>
          <w:szCs w:val="22"/>
          <w:lang w:eastAsia="zh-TW"/>
        </w:rPr>
        <w:t xml:space="preserve"> CPE/FWA devices may have larger space that may be feasible for such requirement.</w:t>
      </w:r>
    </w:p>
    <w:p w14:paraId="389CA907" w14:textId="2824BE90" w:rsidR="00D20B12" w:rsidRDefault="00D20B12" w:rsidP="00334C05">
      <w:pPr>
        <w:pBdr>
          <w:bottom w:val="single" w:sz="6" w:space="2" w:color="auto"/>
        </w:pBdr>
        <w:rPr>
          <w:rFonts w:eastAsia="新細明體"/>
          <w:b/>
          <w:i/>
          <w:sz w:val="22"/>
          <w:szCs w:val="22"/>
          <w:lang w:eastAsia="zh-TW"/>
        </w:rPr>
      </w:pPr>
      <w:r>
        <w:rPr>
          <w:rFonts w:eastAsia="新細明體" w:hint="eastAsia"/>
          <w:b/>
          <w:i/>
          <w:sz w:val="22"/>
          <w:szCs w:val="22"/>
          <w:lang w:eastAsia="zh-TW"/>
        </w:rPr>
        <w:lastRenderedPageBreak/>
        <w:t>P</w:t>
      </w:r>
      <w:r>
        <w:rPr>
          <w:rFonts w:eastAsia="新細明體"/>
          <w:b/>
          <w:i/>
          <w:sz w:val="22"/>
          <w:szCs w:val="22"/>
          <w:lang w:eastAsia="zh-TW"/>
        </w:rPr>
        <w:t>roposal 2: For</w:t>
      </w:r>
      <w:r w:rsidR="007F534B">
        <w:rPr>
          <w:rFonts w:eastAsia="新細明體"/>
          <w:b/>
          <w:i/>
          <w:sz w:val="22"/>
          <w:szCs w:val="22"/>
          <w:lang w:eastAsia="zh-TW"/>
        </w:rPr>
        <w:t xml:space="preserve"> CA/DC </w:t>
      </w:r>
      <w:r>
        <w:rPr>
          <w:rFonts w:eastAsia="新細明體"/>
          <w:b/>
          <w:i/>
          <w:sz w:val="22"/>
          <w:szCs w:val="22"/>
          <w:lang w:eastAsia="zh-TW"/>
        </w:rPr>
        <w:t xml:space="preserve">band combo supporting simultaneous Rx/Tx capability or not, same </w:t>
      </w:r>
      <w:r w:rsidR="00871802">
        <w:rPr>
          <w:rFonts w:eastAsia="新細明體"/>
          <w:b/>
          <w:i/>
          <w:sz w:val="22"/>
          <w:szCs w:val="22"/>
          <w:lang w:eastAsia="zh-TW"/>
        </w:rPr>
        <w:t>requirement</w:t>
      </w:r>
      <w:r>
        <w:rPr>
          <w:rFonts w:eastAsia="新細明體"/>
          <w:b/>
          <w:i/>
          <w:sz w:val="22"/>
          <w:szCs w:val="22"/>
          <w:lang w:eastAsia="zh-TW"/>
        </w:rPr>
        <w:t xml:space="preserve"> shall be applied to it</w:t>
      </w:r>
      <w:r w:rsidR="00871802">
        <w:rPr>
          <w:rFonts w:eastAsia="新細明體" w:hint="eastAsia"/>
          <w:b/>
          <w:i/>
          <w:sz w:val="22"/>
          <w:szCs w:val="22"/>
          <w:lang w:eastAsia="zh-TW"/>
        </w:rPr>
        <w:t>s</w:t>
      </w:r>
      <w:r>
        <w:rPr>
          <w:rFonts w:eastAsia="新細明體"/>
          <w:b/>
          <w:i/>
          <w:sz w:val="22"/>
          <w:szCs w:val="22"/>
          <w:lang w:eastAsia="zh-TW"/>
        </w:rPr>
        <w:t xml:space="preserve"> corresponding SUL/SDL combos</w:t>
      </w:r>
    </w:p>
    <w:p w14:paraId="562A93F8" w14:textId="3217DEEB" w:rsidR="002B4DB0" w:rsidRPr="00D20B12" w:rsidRDefault="002B4DB0" w:rsidP="00334C05">
      <w:pPr>
        <w:pBdr>
          <w:bottom w:val="single" w:sz="6" w:space="2" w:color="auto"/>
        </w:pBdr>
        <w:rPr>
          <w:rFonts w:eastAsia="新細明體"/>
          <w:b/>
          <w:i/>
          <w:sz w:val="22"/>
          <w:szCs w:val="22"/>
          <w:lang w:eastAsia="zh-TW"/>
        </w:rPr>
      </w:pPr>
      <w:r>
        <w:rPr>
          <w:rFonts w:eastAsia="新細明體" w:hint="eastAsia"/>
          <w:b/>
          <w:i/>
          <w:sz w:val="22"/>
          <w:szCs w:val="22"/>
          <w:lang w:eastAsia="zh-TW"/>
        </w:rPr>
        <w:t>P</w:t>
      </w:r>
      <w:r>
        <w:rPr>
          <w:rFonts w:eastAsia="新細明體"/>
          <w:b/>
          <w:i/>
          <w:sz w:val="22"/>
          <w:szCs w:val="22"/>
          <w:lang w:eastAsia="zh-TW"/>
        </w:rPr>
        <w:t xml:space="preserve">roposal 3: </w:t>
      </w:r>
      <w:r w:rsidR="0037179C">
        <w:rPr>
          <w:rFonts w:eastAsia="新細明體"/>
          <w:b/>
          <w:i/>
          <w:sz w:val="22"/>
          <w:szCs w:val="22"/>
          <w:lang w:eastAsia="zh-TW"/>
        </w:rPr>
        <w:t xml:space="preserve">Mandatory simultaneous </w:t>
      </w:r>
      <w:r w:rsidR="00A87BF7">
        <w:rPr>
          <w:rFonts w:eastAsia="新細明體"/>
          <w:b/>
          <w:i/>
          <w:sz w:val="22"/>
          <w:szCs w:val="22"/>
          <w:lang w:eastAsia="zh-TW"/>
        </w:rPr>
        <w:t xml:space="preserve">Rx/Tx for </w:t>
      </w:r>
      <w:r w:rsidR="0037179C" w:rsidRPr="0037179C">
        <w:rPr>
          <w:rFonts w:eastAsia="新細明體"/>
          <w:b/>
          <w:i/>
          <w:sz w:val="22"/>
          <w:szCs w:val="22"/>
          <w:lang w:eastAsia="zh-TW"/>
        </w:rPr>
        <w:t>SUL_n41-n95</w:t>
      </w:r>
      <w:r w:rsidR="00A87BF7">
        <w:rPr>
          <w:rFonts w:eastAsia="新細明體"/>
          <w:b/>
          <w:i/>
          <w:sz w:val="22"/>
          <w:szCs w:val="22"/>
          <w:lang w:eastAsia="zh-TW"/>
        </w:rPr>
        <w:t xml:space="preserve"> shall not be required </w:t>
      </w:r>
      <w:r w:rsidR="009B3A5D">
        <w:rPr>
          <w:rFonts w:eastAsia="新細明體"/>
          <w:b/>
          <w:i/>
          <w:sz w:val="22"/>
          <w:szCs w:val="22"/>
          <w:lang w:eastAsia="zh-TW"/>
        </w:rPr>
        <w:t xml:space="preserve">in order </w:t>
      </w:r>
      <w:r w:rsidR="00A87BF7">
        <w:rPr>
          <w:rFonts w:eastAsia="新細明體"/>
          <w:b/>
          <w:i/>
          <w:sz w:val="22"/>
          <w:szCs w:val="22"/>
          <w:lang w:eastAsia="zh-TW"/>
        </w:rPr>
        <w:t>to avoid UE implementation ambiguity</w:t>
      </w:r>
      <w:r w:rsidR="00832228">
        <w:rPr>
          <w:rFonts w:eastAsia="新細明體"/>
          <w:b/>
          <w:i/>
          <w:sz w:val="22"/>
          <w:szCs w:val="22"/>
          <w:lang w:eastAsia="zh-TW"/>
        </w:rPr>
        <w:t>. Or a</w:t>
      </w:r>
      <w:r w:rsidR="00832228">
        <w:rPr>
          <w:rFonts w:eastAsia="新細明體" w:hint="eastAsia"/>
          <w:b/>
          <w:i/>
          <w:sz w:val="22"/>
          <w:szCs w:val="22"/>
          <w:lang w:eastAsia="zh-TW"/>
        </w:rPr>
        <w:t>d</w:t>
      </w:r>
      <w:r w:rsidR="00832228">
        <w:rPr>
          <w:rFonts w:eastAsia="新細明體"/>
          <w:b/>
          <w:i/>
          <w:sz w:val="22"/>
          <w:szCs w:val="22"/>
          <w:lang w:eastAsia="zh-TW"/>
        </w:rPr>
        <w:t xml:space="preserve">ding a note to </w:t>
      </w:r>
      <w:r w:rsidR="00E31F7A">
        <w:rPr>
          <w:rFonts w:eastAsia="新細明體"/>
          <w:b/>
          <w:i/>
          <w:sz w:val="22"/>
          <w:szCs w:val="22"/>
          <w:lang w:eastAsia="zh-TW"/>
        </w:rPr>
        <w:t>clarify</w:t>
      </w:r>
      <w:r w:rsidR="00832228">
        <w:rPr>
          <w:rFonts w:eastAsia="新細明體"/>
          <w:b/>
          <w:i/>
          <w:sz w:val="22"/>
          <w:szCs w:val="22"/>
          <w:lang w:eastAsia="zh-TW"/>
        </w:rPr>
        <w:t xml:space="preserve"> the capability is only for CPE/FWA device is needed.</w:t>
      </w:r>
    </w:p>
    <w:p w14:paraId="3B8A9A34" w14:textId="69B049E7" w:rsidR="00C138B8" w:rsidRPr="00AD4C3D" w:rsidRDefault="00C138B8" w:rsidP="00334C05">
      <w:pPr>
        <w:pBdr>
          <w:bottom w:val="single" w:sz="6" w:space="2" w:color="auto"/>
        </w:pBdr>
        <w:rPr>
          <w:rFonts w:eastAsia="新細明體"/>
          <w:bCs/>
          <w:iCs/>
          <w:sz w:val="22"/>
          <w:szCs w:val="22"/>
          <w:lang w:eastAsia="zh-TW"/>
        </w:rPr>
      </w:pPr>
    </w:p>
    <w:p w14:paraId="49E84BE5" w14:textId="13FBB8DB" w:rsidR="00AD4C3D" w:rsidRDefault="00AD4C3D" w:rsidP="00AD4C3D">
      <w:pPr>
        <w:pStyle w:val="1"/>
        <w:numPr>
          <w:ilvl w:val="0"/>
          <w:numId w:val="0"/>
        </w:numPr>
        <w:ind w:left="533" w:hanging="533"/>
        <w:jc w:val="both"/>
        <w:rPr>
          <w:rFonts w:eastAsia="SimSun"/>
          <w:sz w:val="40"/>
          <w:szCs w:val="40"/>
          <w:lang w:eastAsia="zh-CN"/>
        </w:rPr>
      </w:pPr>
      <w:r>
        <w:rPr>
          <w:rFonts w:eastAsia="SimSun"/>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14:paraId="0FC4C66C" w14:textId="77777777" w:rsidR="00AD4C3D" w:rsidRPr="0080392B" w:rsidRDefault="00AD4C3D" w:rsidP="00AD4C3D">
      <w:pPr>
        <w:pBdr>
          <w:bottom w:val="single" w:sz="6" w:space="2" w:color="auto"/>
        </w:pBdr>
        <w:rPr>
          <w:rFonts w:eastAsia="新細明體"/>
          <w:b/>
          <w:i/>
          <w:sz w:val="22"/>
          <w:szCs w:val="22"/>
          <w:lang w:eastAsia="zh-TW"/>
        </w:rPr>
      </w:pPr>
      <w:r>
        <w:rPr>
          <w:rFonts w:eastAsia="新細明體"/>
          <w:b/>
          <w:i/>
          <w:sz w:val="22"/>
          <w:szCs w:val="22"/>
          <w:lang w:eastAsia="zh-TW"/>
        </w:rPr>
        <w:t>Observation 1: Mandatory simultaneous Rx/Tx capability may have impact on UE implementation</w:t>
      </w:r>
    </w:p>
    <w:p w14:paraId="20E25C27" w14:textId="77777777" w:rsidR="00AD4C3D" w:rsidRPr="00AD6499" w:rsidRDefault="00AD4C3D" w:rsidP="00AD4C3D">
      <w:pPr>
        <w:pBdr>
          <w:bottom w:val="single" w:sz="6" w:space="2" w:color="auto"/>
        </w:pBdr>
        <w:rPr>
          <w:rFonts w:eastAsia="新細明體"/>
          <w:b/>
          <w:i/>
          <w:sz w:val="22"/>
          <w:szCs w:val="22"/>
          <w:lang w:eastAsia="zh-TW"/>
        </w:rPr>
      </w:pPr>
      <w:r w:rsidRPr="00AD6499">
        <w:rPr>
          <w:rFonts w:eastAsia="新細明體"/>
          <w:b/>
          <w:i/>
          <w:sz w:val="22"/>
          <w:szCs w:val="22"/>
          <w:lang w:eastAsia="zh-TW"/>
        </w:rPr>
        <w:t>Proposal 1:</w:t>
      </w:r>
      <w:r>
        <w:rPr>
          <w:rFonts w:eastAsia="新細明體"/>
          <w:b/>
          <w:i/>
          <w:sz w:val="22"/>
          <w:szCs w:val="22"/>
          <w:lang w:eastAsia="zh-TW"/>
        </w:rPr>
        <w:t xml:space="preserve"> No need to specify MSD threshold for mandatory simultaneous Rx/Tx capability. The capability shall be specified case by case manner.</w:t>
      </w:r>
    </w:p>
    <w:p w14:paraId="6B748184" w14:textId="75E2AFC9" w:rsidR="00AD4C3D" w:rsidRDefault="00AD4C3D" w:rsidP="00AD4C3D">
      <w:pPr>
        <w:pBdr>
          <w:bottom w:val="single" w:sz="6" w:space="2" w:color="auto"/>
        </w:pBdr>
        <w:rPr>
          <w:rFonts w:eastAsia="新細明體"/>
          <w:b/>
          <w:i/>
          <w:sz w:val="22"/>
          <w:szCs w:val="22"/>
          <w:lang w:eastAsia="zh-TW"/>
        </w:rPr>
      </w:pPr>
      <w:r>
        <w:rPr>
          <w:rFonts w:eastAsia="新細明體" w:hint="eastAsia"/>
          <w:b/>
          <w:i/>
          <w:sz w:val="22"/>
          <w:szCs w:val="22"/>
          <w:lang w:eastAsia="zh-TW"/>
        </w:rPr>
        <w:t>P</w:t>
      </w:r>
      <w:r>
        <w:rPr>
          <w:rFonts w:eastAsia="新細明體"/>
          <w:b/>
          <w:i/>
          <w:sz w:val="22"/>
          <w:szCs w:val="22"/>
          <w:lang w:eastAsia="zh-TW"/>
        </w:rPr>
        <w:t xml:space="preserve">roposal 2: For </w:t>
      </w:r>
      <w:r w:rsidR="007F534B">
        <w:rPr>
          <w:rFonts w:eastAsia="新細明體"/>
          <w:b/>
          <w:i/>
          <w:sz w:val="22"/>
          <w:szCs w:val="22"/>
          <w:lang w:eastAsia="zh-TW"/>
        </w:rPr>
        <w:t xml:space="preserve">CA/DC </w:t>
      </w:r>
      <w:r>
        <w:rPr>
          <w:rFonts w:eastAsia="新細明體"/>
          <w:b/>
          <w:i/>
          <w:sz w:val="22"/>
          <w:szCs w:val="22"/>
          <w:lang w:eastAsia="zh-TW"/>
        </w:rPr>
        <w:t xml:space="preserve">band combo supporting simultaneous Rx/Tx capability or not, same </w:t>
      </w:r>
      <w:r w:rsidR="00871802">
        <w:rPr>
          <w:rFonts w:eastAsia="新細明體"/>
          <w:b/>
          <w:i/>
          <w:sz w:val="22"/>
          <w:szCs w:val="22"/>
          <w:lang w:eastAsia="zh-TW"/>
        </w:rPr>
        <w:t>requirement</w:t>
      </w:r>
      <w:r>
        <w:rPr>
          <w:rFonts w:eastAsia="新細明體"/>
          <w:b/>
          <w:i/>
          <w:sz w:val="22"/>
          <w:szCs w:val="22"/>
          <w:lang w:eastAsia="zh-TW"/>
        </w:rPr>
        <w:t xml:space="preserve"> shall be applied to it</w:t>
      </w:r>
      <w:r w:rsidR="00871802">
        <w:rPr>
          <w:rFonts w:eastAsia="新細明體"/>
          <w:b/>
          <w:i/>
          <w:sz w:val="22"/>
          <w:szCs w:val="22"/>
          <w:lang w:eastAsia="zh-TW"/>
        </w:rPr>
        <w:t>s</w:t>
      </w:r>
      <w:r>
        <w:rPr>
          <w:rFonts w:eastAsia="新細明體"/>
          <w:b/>
          <w:i/>
          <w:sz w:val="22"/>
          <w:szCs w:val="22"/>
          <w:lang w:eastAsia="zh-TW"/>
        </w:rPr>
        <w:t xml:space="preserve"> corresponding SUL/SDL combos</w:t>
      </w:r>
    </w:p>
    <w:p w14:paraId="6F99A53A" w14:textId="4A902BBC" w:rsidR="00AD4C3D" w:rsidRPr="00D20B12" w:rsidRDefault="00AD4C3D" w:rsidP="00AD4C3D">
      <w:pPr>
        <w:pBdr>
          <w:bottom w:val="single" w:sz="6" w:space="2" w:color="auto"/>
        </w:pBdr>
        <w:rPr>
          <w:rFonts w:eastAsia="新細明體"/>
          <w:b/>
          <w:i/>
          <w:sz w:val="22"/>
          <w:szCs w:val="22"/>
          <w:lang w:eastAsia="zh-TW"/>
        </w:rPr>
      </w:pPr>
      <w:r>
        <w:rPr>
          <w:rFonts w:eastAsia="新細明體" w:hint="eastAsia"/>
          <w:b/>
          <w:i/>
          <w:sz w:val="22"/>
          <w:szCs w:val="22"/>
          <w:lang w:eastAsia="zh-TW"/>
        </w:rPr>
        <w:t>P</w:t>
      </w:r>
      <w:r>
        <w:rPr>
          <w:rFonts w:eastAsia="新細明體"/>
          <w:b/>
          <w:i/>
          <w:sz w:val="22"/>
          <w:szCs w:val="22"/>
          <w:lang w:eastAsia="zh-TW"/>
        </w:rPr>
        <w:t xml:space="preserve">roposal 3: Mandatory simultaneous Rx/Tx for </w:t>
      </w:r>
      <w:r w:rsidRPr="0037179C">
        <w:rPr>
          <w:rFonts w:eastAsia="新細明體"/>
          <w:b/>
          <w:i/>
          <w:sz w:val="22"/>
          <w:szCs w:val="22"/>
          <w:lang w:eastAsia="zh-TW"/>
        </w:rPr>
        <w:t>SUL_n41-n95</w:t>
      </w:r>
      <w:r>
        <w:rPr>
          <w:rFonts w:eastAsia="新細明體"/>
          <w:b/>
          <w:i/>
          <w:sz w:val="22"/>
          <w:szCs w:val="22"/>
          <w:lang w:eastAsia="zh-TW"/>
        </w:rPr>
        <w:t xml:space="preserve"> shall not be required in order to avoid UE implementation ambiguity</w:t>
      </w:r>
      <w:r w:rsidR="00832228">
        <w:rPr>
          <w:rFonts w:eastAsia="新細明體"/>
          <w:b/>
          <w:i/>
          <w:sz w:val="22"/>
          <w:szCs w:val="22"/>
          <w:lang w:eastAsia="zh-TW"/>
        </w:rPr>
        <w:t xml:space="preserve">. Or adding a note to </w:t>
      </w:r>
      <w:r w:rsidR="00E31F7A">
        <w:rPr>
          <w:rFonts w:eastAsia="新細明體"/>
          <w:b/>
          <w:i/>
          <w:sz w:val="22"/>
          <w:szCs w:val="22"/>
          <w:lang w:eastAsia="zh-TW"/>
        </w:rPr>
        <w:t>clarify</w:t>
      </w:r>
      <w:r w:rsidR="00832228">
        <w:rPr>
          <w:rFonts w:eastAsia="新細明體"/>
          <w:b/>
          <w:i/>
          <w:sz w:val="22"/>
          <w:szCs w:val="22"/>
          <w:lang w:eastAsia="zh-TW"/>
        </w:rPr>
        <w:t xml:space="preserve"> the capability is only for CPE/FWA device is needed.</w:t>
      </w:r>
    </w:p>
    <w:p w14:paraId="55B6CCC1" w14:textId="77777777" w:rsidR="00AD4C3D" w:rsidRPr="0080392B" w:rsidRDefault="00AD4C3D" w:rsidP="00334C05">
      <w:pPr>
        <w:pBdr>
          <w:bottom w:val="single" w:sz="6" w:space="2" w:color="auto"/>
        </w:pBdr>
        <w:rPr>
          <w:rFonts w:eastAsia="新細明體"/>
          <w:bCs/>
          <w:iCs/>
          <w:sz w:val="22"/>
          <w:szCs w:val="22"/>
          <w:lang w:eastAsia="zh-TW"/>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089DFB6A" w14:textId="568C0D9B" w:rsidR="00ED5576" w:rsidRDefault="00ED5576" w:rsidP="001C7C98">
      <w:pPr>
        <w:pStyle w:val="afff"/>
        <w:numPr>
          <w:ilvl w:val="0"/>
          <w:numId w:val="41"/>
        </w:numPr>
        <w:rPr>
          <w:rFonts w:eastAsia="新細明體"/>
          <w:lang w:eastAsia="zh-TW"/>
        </w:rPr>
      </w:pPr>
      <w:r w:rsidRPr="00ED5576">
        <w:rPr>
          <w:rFonts w:eastAsia="新細明體"/>
          <w:lang w:eastAsia="zh-TW"/>
        </w:rPr>
        <w:t>R4-2206420</w:t>
      </w:r>
      <w:r w:rsidRPr="00ED5576">
        <w:rPr>
          <w:rFonts w:eastAsia="新細明體"/>
          <w:lang w:eastAsia="zh-TW"/>
        </w:rPr>
        <w:tab/>
        <w:t>Email discussion summary for [102-e][120] LTE_NR_Other_WI</w:t>
      </w:r>
      <w:r>
        <w:rPr>
          <w:rFonts w:eastAsia="新細明體"/>
          <w:lang w:eastAsia="zh-TW"/>
        </w:rPr>
        <w:t>, RAN4#102-e</w:t>
      </w:r>
    </w:p>
    <w:p w14:paraId="114E9FA9" w14:textId="68A97E14" w:rsidR="00ED5576" w:rsidRDefault="00ED5576" w:rsidP="001C7C98">
      <w:pPr>
        <w:pStyle w:val="afff"/>
        <w:numPr>
          <w:ilvl w:val="0"/>
          <w:numId w:val="41"/>
        </w:numPr>
        <w:rPr>
          <w:rFonts w:eastAsia="新細明體"/>
          <w:lang w:eastAsia="zh-TW"/>
        </w:rPr>
      </w:pPr>
      <w:r w:rsidRPr="00ED5576">
        <w:rPr>
          <w:rFonts w:eastAsia="新細明體"/>
          <w:lang w:eastAsia="zh-TW"/>
        </w:rPr>
        <w:t>R4-2206479</w:t>
      </w:r>
      <w:r w:rsidRPr="00ED5576">
        <w:rPr>
          <w:rFonts w:eastAsia="新細明體"/>
          <w:lang w:eastAsia="zh-TW"/>
        </w:rPr>
        <w:tab/>
        <w:t>WF on simultaneous Rx/Tx capability</w:t>
      </w:r>
      <w:r>
        <w:rPr>
          <w:rFonts w:eastAsia="新細明體"/>
          <w:lang w:eastAsia="zh-TW"/>
        </w:rPr>
        <w:t>, RAN4#102-e</w:t>
      </w:r>
    </w:p>
    <w:sectPr w:rsidR="00ED5576" w:rsidSect="00ED5576">
      <w:footerReference w:type="default" r:id="rId8"/>
      <w:footnotePr>
        <w:numRestart w:val="eachSect"/>
      </w:footnotePr>
      <w:pgSz w:w="11906" w:h="16838"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11FDB" w14:textId="77777777" w:rsidR="00CA2B38" w:rsidRDefault="00CA2B38">
      <w:r>
        <w:separator/>
      </w:r>
    </w:p>
  </w:endnote>
  <w:endnote w:type="continuationSeparator" w:id="0">
    <w:p w14:paraId="5EE13DBB" w14:textId="77777777" w:rsidR="00CA2B38" w:rsidRDefault="00CA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A5EE1" w14:textId="77777777" w:rsidR="00CA2B38" w:rsidRDefault="00CA2B38">
      <w:r>
        <w:separator/>
      </w:r>
    </w:p>
  </w:footnote>
  <w:footnote w:type="continuationSeparator" w:id="0">
    <w:p w14:paraId="7739C72A" w14:textId="77777777" w:rsidR="00CA2B38" w:rsidRDefault="00CA2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9"/>
  </w:num>
  <w:num w:numId="4">
    <w:abstractNumId w:val="26"/>
  </w:num>
  <w:num w:numId="5">
    <w:abstractNumId w:val="2"/>
  </w:num>
  <w:num w:numId="6">
    <w:abstractNumId w:val="25"/>
  </w:num>
  <w:num w:numId="7">
    <w:abstractNumId w:val="13"/>
  </w:num>
  <w:num w:numId="8">
    <w:abstractNumId w:val="20"/>
  </w:num>
  <w:num w:numId="9">
    <w:abstractNumId w:val="29"/>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21"/>
  </w:num>
  <w:num w:numId="16">
    <w:abstractNumId w:val="0"/>
  </w:num>
  <w:num w:numId="17">
    <w:abstractNumId w:val="18"/>
  </w:num>
  <w:num w:numId="18">
    <w:abstractNumId w:val="15"/>
  </w:num>
  <w:num w:numId="19">
    <w:abstractNumId w:val="7"/>
  </w:num>
  <w:num w:numId="20">
    <w:abstractNumId w:val="21"/>
  </w:num>
  <w:num w:numId="21">
    <w:abstractNumId w:val="17"/>
  </w:num>
  <w:num w:numId="22">
    <w:abstractNumId w:val="9"/>
  </w:num>
  <w:num w:numId="23">
    <w:abstractNumId w:val="2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4"/>
  </w:num>
  <w:num w:numId="36">
    <w:abstractNumId w:val="23"/>
  </w:num>
  <w:num w:numId="37">
    <w:abstractNumId w:val="11"/>
  </w:num>
  <w:num w:numId="38">
    <w:abstractNumId w:val="12"/>
  </w:num>
  <w:num w:numId="39">
    <w:abstractNumId w:val="5"/>
  </w:num>
  <w:num w:numId="40">
    <w:abstractNumId w:val="27"/>
  </w:num>
  <w:num w:numId="41">
    <w:abstractNumId w:val="3"/>
  </w:num>
  <w:num w:numId="4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63"/>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053"/>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56E"/>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4592"/>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1EC5"/>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219"/>
    <w:rsid w:val="0022434E"/>
    <w:rsid w:val="002245D6"/>
    <w:rsid w:val="002246B0"/>
    <w:rsid w:val="00224853"/>
    <w:rsid w:val="0022506C"/>
    <w:rsid w:val="002250E8"/>
    <w:rsid w:val="0022571C"/>
    <w:rsid w:val="00225CA5"/>
    <w:rsid w:val="00225E3F"/>
    <w:rsid w:val="0022687D"/>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3C76"/>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804"/>
    <w:rsid w:val="00286207"/>
    <w:rsid w:val="00286371"/>
    <w:rsid w:val="002863D5"/>
    <w:rsid w:val="00286658"/>
    <w:rsid w:val="0028694F"/>
    <w:rsid w:val="00286ED4"/>
    <w:rsid w:val="00286F8B"/>
    <w:rsid w:val="00290F5E"/>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4DB0"/>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3F56"/>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2D5"/>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0FE2"/>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179C"/>
    <w:rsid w:val="00372830"/>
    <w:rsid w:val="00372B33"/>
    <w:rsid w:val="00372C70"/>
    <w:rsid w:val="003735E2"/>
    <w:rsid w:val="0037387D"/>
    <w:rsid w:val="00373CC6"/>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97D8E"/>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B23"/>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2F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DD"/>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38A2"/>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07"/>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2231"/>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796"/>
    <w:rsid w:val="006C3804"/>
    <w:rsid w:val="006C3943"/>
    <w:rsid w:val="006C3BAC"/>
    <w:rsid w:val="006C3E81"/>
    <w:rsid w:val="006C43FA"/>
    <w:rsid w:val="006C5695"/>
    <w:rsid w:val="006C57E8"/>
    <w:rsid w:val="006C59F3"/>
    <w:rsid w:val="006C5F4C"/>
    <w:rsid w:val="006C632B"/>
    <w:rsid w:val="006C64E5"/>
    <w:rsid w:val="006C69F1"/>
    <w:rsid w:val="006C6E8D"/>
    <w:rsid w:val="006C6EF4"/>
    <w:rsid w:val="006C7A9C"/>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110"/>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477B9"/>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87B"/>
    <w:rsid w:val="00770C60"/>
    <w:rsid w:val="00770E78"/>
    <w:rsid w:val="00770EE7"/>
    <w:rsid w:val="0077108D"/>
    <w:rsid w:val="00771D69"/>
    <w:rsid w:val="007726A7"/>
    <w:rsid w:val="007726F1"/>
    <w:rsid w:val="00772788"/>
    <w:rsid w:val="00772E65"/>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165"/>
    <w:rsid w:val="0079523C"/>
    <w:rsid w:val="007958B9"/>
    <w:rsid w:val="00795B34"/>
    <w:rsid w:val="00795D15"/>
    <w:rsid w:val="00796765"/>
    <w:rsid w:val="00796DD8"/>
    <w:rsid w:val="00797BD6"/>
    <w:rsid w:val="00797E04"/>
    <w:rsid w:val="007A0658"/>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990"/>
    <w:rsid w:val="007E5CD6"/>
    <w:rsid w:val="007E5F5F"/>
    <w:rsid w:val="007E60F0"/>
    <w:rsid w:val="007E66C3"/>
    <w:rsid w:val="007E6E66"/>
    <w:rsid w:val="007E7153"/>
    <w:rsid w:val="007E7858"/>
    <w:rsid w:val="007E7DFE"/>
    <w:rsid w:val="007F0BBF"/>
    <w:rsid w:val="007F1254"/>
    <w:rsid w:val="007F1B3A"/>
    <w:rsid w:val="007F23D1"/>
    <w:rsid w:val="007F2CE5"/>
    <w:rsid w:val="007F31A0"/>
    <w:rsid w:val="007F4304"/>
    <w:rsid w:val="007F43AF"/>
    <w:rsid w:val="007F534B"/>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1F1"/>
    <w:rsid w:val="00803519"/>
    <w:rsid w:val="0080392B"/>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28"/>
    <w:rsid w:val="0083223F"/>
    <w:rsid w:val="00832360"/>
    <w:rsid w:val="0083265E"/>
    <w:rsid w:val="00832BDE"/>
    <w:rsid w:val="00832ED2"/>
    <w:rsid w:val="008336CC"/>
    <w:rsid w:val="00833EEA"/>
    <w:rsid w:val="00834286"/>
    <w:rsid w:val="0083482A"/>
    <w:rsid w:val="00834CF4"/>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802"/>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C1B"/>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126"/>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845"/>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A5D"/>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32A"/>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C4F"/>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5946"/>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121"/>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595"/>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87BF7"/>
    <w:rsid w:val="00A90569"/>
    <w:rsid w:val="00A90986"/>
    <w:rsid w:val="00A9099E"/>
    <w:rsid w:val="00A90EAF"/>
    <w:rsid w:val="00A910D6"/>
    <w:rsid w:val="00A915D6"/>
    <w:rsid w:val="00A9176E"/>
    <w:rsid w:val="00A917CB"/>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6B3"/>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4C3D"/>
    <w:rsid w:val="00AD55D1"/>
    <w:rsid w:val="00AD57DD"/>
    <w:rsid w:val="00AD6249"/>
    <w:rsid w:val="00AD649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581"/>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4EB2"/>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8A3"/>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3E2"/>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445"/>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233"/>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8B8"/>
    <w:rsid w:val="00C13B9C"/>
    <w:rsid w:val="00C151E8"/>
    <w:rsid w:val="00C17643"/>
    <w:rsid w:val="00C179A3"/>
    <w:rsid w:val="00C17B7F"/>
    <w:rsid w:val="00C204A9"/>
    <w:rsid w:val="00C2070F"/>
    <w:rsid w:val="00C2080B"/>
    <w:rsid w:val="00C20901"/>
    <w:rsid w:val="00C209C0"/>
    <w:rsid w:val="00C21348"/>
    <w:rsid w:val="00C2143A"/>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099"/>
    <w:rsid w:val="00CA01BA"/>
    <w:rsid w:val="00CA0B6C"/>
    <w:rsid w:val="00CA1A4B"/>
    <w:rsid w:val="00CA1B52"/>
    <w:rsid w:val="00CA2B38"/>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37C"/>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B7C"/>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2DFF"/>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0B12"/>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3745"/>
    <w:rsid w:val="00E147B3"/>
    <w:rsid w:val="00E14BE8"/>
    <w:rsid w:val="00E15EFC"/>
    <w:rsid w:val="00E162F5"/>
    <w:rsid w:val="00E165AB"/>
    <w:rsid w:val="00E17333"/>
    <w:rsid w:val="00E176A4"/>
    <w:rsid w:val="00E17A5D"/>
    <w:rsid w:val="00E17EAD"/>
    <w:rsid w:val="00E17F3C"/>
    <w:rsid w:val="00E211CF"/>
    <w:rsid w:val="00E21DA1"/>
    <w:rsid w:val="00E21F96"/>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1F7A"/>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87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6CA0"/>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576"/>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2E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00"/>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D52"/>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040"/>
    <w:rsid w:val="00F945BF"/>
    <w:rsid w:val="00F94662"/>
    <w:rsid w:val="00F95271"/>
    <w:rsid w:val="00F95382"/>
    <w:rsid w:val="00F95CA4"/>
    <w:rsid w:val="00F962DF"/>
    <w:rsid w:val="00F963C9"/>
    <w:rsid w:val="00F9653D"/>
    <w:rsid w:val="00F96790"/>
    <w:rsid w:val="00F96A21"/>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8AB"/>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2"/>
    <w:link w:val="50"/>
    <w:qFormat/>
    <w:rsid w:val="00876A06"/>
    <w:p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2"/>
    <w:semiHidden/>
    <w:rsid w:val="009B4262"/>
    <w:pPr>
      <w:keepLines/>
    </w:pPr>
  </w:style>
  <w:style w:type="paragraph" w:styleId="22">
    <w:name w:val="index 2"/>
    <w:basedOn w:val="13"/>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2"/>
    <w:semiHidden/>
    <w:rsid w:val="009B4262"/>
    <w:pPr>
      <w:ind w:left="1985" w:hanging="1985"/>
    </w:pPr>
  </w:style>
  <w:style w:type="paragraph" w:styleId="70">
    <w:name w:val="toc 7"/>
    <w:basedOn w:val="61"/>
    <w:next w:val="a2"/>
    <w:semiHidden/>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cap11 Char Char Char,captions"/>
    <w:basedOn w:val="a2"/>
    <w:next w:val="a2"/>
    <w:link w:val="af0"/>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7"/>
    <w:rsid w:val="00F1227B"/>
    <w:rPr>
      <w:lang w:val="en-GB" w:eastAsia="en-GB"/>
    </w:rPr>
  </w:style>
  <w:style w:type="paragraph" w:styleId="af9">
    <w:name w:val="Body Text Indent"/>
    <w:basedOn w:val="a2"/>
    <w:pPr>
      <w:widowControl w:val="0"/>
      <w:ind w:left="210"/>
      <w:jc w:val="both"/>
    </w:pPr>
    <w:rPr>
      <w:snapToGrid w:val="0"/>
      <w:kern w:val="2"/>
      <w:sz w:val="21"/>
    </w:rPr>
  </w:style>
  <w:style w:type="paragraph" w:styleId="afa">
    <w:name w:val="table of figures"/>
    <w:basedOn w:val="a2"/>
    <w:next w:val="a2"/>
    <w:semiHidden/>
    <w:pPr>
      <w:ind w:left="400" w:hanging="400"/>
      <w:jc w:val="center"/>
    </w:pPr>
    <w:rPr>
      <w:b/>
    </w:rPr>
  </w:style>
  <w:style w:type="paragraph" w:styleId="26">
    <w:name w:val="Body Text 2"/>
    <w:basedOn w:val="a2"/>
    <w:rPr>
      <w:i/>
    </w:rPr>
  </w:style>
  <w:style w:type="paragraph" w:styleId="34">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rPr>
  </w:style>
  <w:style w:type="character" w:styleId="afd">
    <w:name w:val="page number"/>
    <w:basedOn w:val="a3"/>
  </w:style>
  <w:style w:type="paragraph" w:styleId="35">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3">
    <w:name w:val="样式 页眉"/>
    <w:basedOn w:val="a6"/>
    <w:link w:val="Char0"/>
    <w:rsid w:val="00572A4C"/>
    <w:rPr>
      <w:rFonts w:eastAsia="Arial"/>
      <w:bCs/>
      <w:sz w:val="22"/>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2"/>
    <w:link w:val="EXChar"/>
    <w:rsid w:val="008C33BB"/>
    <w:pPr>
      <w:keepLines/>
      <w:ind w:left="1702" w:hanging="1418"/>
    </w:pPr>
    <w:rPr>
      <w:rFonts w:eastAsia="SimSun"/>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2"/>
    <w:rsid w:val="00051233"/>
    <w:pPr>
      <w:numPr>
        <w:numId w:val="4"/>
      </w:numPr>
      <w:overflowPunct/>
      <w:autoSpaceDE/>
      <w:autoSpaceDN/>
      <w:adjustRightInd/>
      <w:spacing w:after="80"/>
      <w:textAlignment w:val="auto"/>
    </w:pPr>
    <w:rPr>
      <w:rFonts w:eastAsia="SimSun"/>
      <w:sz w:val="18"/>
      <w:lang w:val="en-US"/>
    </w:rPr>
  </w:style>
  <w:style w:type="paragraph" w:styleId="aff4">
    <w:name w:val="Date"/>
    <w:basedOn w:val="a2"/>
    <w:next w:val="a2"/>
    <w:link w:val="aff5"/>
    <w:rsid w:val="00590EBF"/>
    <w:pPr>
      <w:ind w:leftChars="2500" w:left="100"/>
    </w:pPr>
  </w:style>
  <w:style w:type="character" w:customStyle="1" w:styleId="aff5">
    <w:name w:val="日期 字元"/>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2"/>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2"/>
    <w:rsid w:val="00755136"/>
    <w:pPr>
      <w:ind w:left="851"/>
    </w:pPr>
    <w:rPr>
      <w:rFonts w:eastAsia="SimSun"/>
      <w:lang w:eastAsia="ja-JP"/>
    </w:rPr>
  </w:style>
  <w:style w:type="paragraph" w:customStyle="1" w:styleId="INDENT2">
    <w:name w:val="INDENT2"/>
    <w:basedOn w:val="a2"/>
    <w:rsid w:val="00755136"/>
    <w:pPr>
      <w:ind w:left="1135" w:hanging="284"/>
    </w:pPr>
    <w:rPr>
      <w:rFonts w:eastAsia="SimSun"/>
      <w:lang w:eastAsia="ja-JP"/>
    </w:rPr>
  </w:style>
  <w:style w:type="paragraph" w:customStyle="1" w:styleId="INDENT3">
    <w:name w:val="INDENT3"/>
    <w:basedOn w:val="a2"/>
    <w:rsid w:val="00755136"/>
    <w:pPr>
      <w:ind w:left="1701" w:hanging="567"/>
    </w:pPr>
    <w:rPr>
      <w:rFonts w:eastAsia="SimSun"/>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2"/>
    <w:rsid w:val="00755136"/>
    <w:pPr>
      <w:keepNext/>
      <w:keepLines/>
    </w:pPr>
    <w:rPr>
      <w:rFonts w:eastAsia="SimSun"/>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2"/>
    <w:rsid w:val="00755136"/>
    <w:pPr>
      <w:keepNext/>
      <w:keepLines/>
      <w:spacing w:before="240"/>
      <w:ind w:left="1418"/>
    </w:pPr>
    <w:rPr>
      <w:rFonts w:ascii="Arial" w:eastAsia="SimSun" w:hAnsi="Arial"/>
      <w:b/>
      <w:sz w:val="36"/>
      <w:lang w:val="en-US" w:eastAsia="ja-JP"/>
    </w:rPr>
  </w:style>
  <w:style w:type="character" w:customStyle="1" w:styleId="af0">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f"/>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9"/>
    <w:rsid w:val="00755136"/>
  </w:style>
  <w:style w:type="paragraph" w:customStyle="1" w:styleId="CRCoverPage">
    <w:name w:val="CR Cover Page"/>
    <w:next w:val="a2"/>
    <w:link w:val="CRCoverPageChar"/>
    <w:qFormat/>
    <w:rsid w:val="00755136"/>
    <w:pPr>
      <w:spacing w:after="120"/>
    </w:pPr>
    <w:rPr>
      <w:rFonts w:ascii="Arial" w:eastAsia="SimSun"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2"/>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純文字 字元"/>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4">
    <w:name w:val="文件引導模式 字元"/>
    <w:link w:val="af3"/>
    <w:semiHidden/>
    <w:rsid w:val="00755136"/>
    <w:rPr>
      <w:rFonts w:ascii="Tahoma" w:eastAsia="Times New Roman" w:hAnsi="Tahoma"/>
      <w:shd w:val="clear" w:color="auto" w:fill="000080"/>
      <w:lang w:val="en-GB" w:eastAsia="en-US"/>
    </w:rPr>
  </w:style>
  <w:style w:type="character" w:customStyle="1" w:styleId="afc">
    <w:name w:val="註解文字 字元"/>
    <w:link w:val="afb"/>
    <w:semiHidden/>
    <w:rsid w:val="00755136"/>
    <w:rPr>
      <w:rFonts w:ascii="–¾’©" w:eastAsia="–¾’©"/>
      <w:sz w:val="24"/>
      <w:lang w:val="en-GB" w:eastAsia="en-US"/>
    </w:rPr>
  </w:style>
  <w:style w:type="character" w:customStyle="1" w:styleId="aff">
    <w:name w:val="註解方塊文字 字元"/>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8"/>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2"/>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8">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4">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8">
    <w:name w:val="List Number 3"/>
    <w:basedOn w:val="a2"/>
    <w:rsid w:val="00755136"/>
    <w:pPr>
      <w:tabs>
        <w:tab w:val="num" w:pos="720"/>
        <w:tab w:val="num" w:pos="926"/>
      </w:tabs>
      <w:ind w:left="926" w:hanging="360"/>
    </w:pPr>
    <w:rPr>
      <w:rFonts w:eastAsia="MS Mincho"/>
      <w:lang w:eastAsia="en-GB"/>
    </w:rPr>
  </w:style>
  <w:style w:type="paragraph" w:styleId="46">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eastAsia="SimSun"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a">
    <w:name w:val="endnote text"/>
    <w:basedOn w:val="a2"/>
    <w:link w:val="affb"/>
    <w:rsid w:val="00755136"/>
    <w:pPr>
      <w:overflowPunct/>
      <w:autoSpaceDE/>
      <w:autoSpaceDN/>
      <w:adjustRightInd/>
      <w:snapToGrid w:val="0"/>
      <w:textAlignment w:val="auto"/>
    </w:pPr>
    <w:rPr>
      <w:rFonts w:eastAsia="SimSun"/>
    </w:rPr>
  </w:style>
  <w:style w:type="character" w:customStyle="1" w:styleId="affb">
    <w:name w:val="章節附註文字 字元"/>
    <w:link w:val="affa"/>
    <w:rsid w:val="00755136"/>
    <w:rPr>
      <w:rFonts w:eastAsia="SimSun"/>
      <w:lang w:val="en-GB" w:eastAsia="en-US"/>
    </w:rPr>
  </w:style>
  <w:style w:type="character" w:styleId="affc">
    <w:name w:val="endnote reference"/>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affd">
    <w:name w:val="Title"/>
    <w:basedOn w:val="a2"/>
    <w:next w:val="a2"/>
    <w:link w:val="affe"/>
    <w:qFormat/>
    <w:rsid w:val="00755136"/>
    <w:pPr>
      <w:spacing w:before="240" w:after="60"/>
      <w:outlineLvl w:val="0"/>
    </w:pPr>
    <w:rPr>
      <w:rFonts w:ascii="Courier New" w:eastAsia="SimSun" w:hAnsi="Courier New"/>
      <w:lang w:val="nb-NO" w:eastAsia="ja-JP"/>
    </w:rPr>
  </w:style>
  <w:style w:type="character" w:customStyle="1" w:styleId="affe">
    <w:name w:val="標題 字元"/>
    <w:link w:val="affd"/>
    <w:rsid w:val="00755136"/>
    <w:rPr>
      <w:rFonts w:ascii="Courier New" w:eastAsia="SimSun" w:hAnsi="Courier New"/>
      <w:lang w:val="nb-NO" w:eastAsia="ja-JP"/>
    </w:rPr>
  </w:style>
  <w:style w:type="paragraph" w:customStyle="1" w:styleId="B1">
    <w:name w:val="B1+"/>
    <w:basedOn w:val="a2"/>
    <w:rsid w:val="00755136"/>
    <w:pPr>
      <w:numPr>
        <w:numId w:val="10"/>
      </w:numPr>
    </w:pPr>
    <w:rPr>
      <w:rFonts w:eastAsia="SimSun"/>
    </w:rPr>
  </w:style>
  <w:style w:type="paragraph" w:customStyle="1" w:styleId="FL">
    <w:name w:val="FL"/>
    <w:basedOn w:val="a2"/>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
    <w:rsid w:val="00EE5025"/>
    <w:pPr>
      <w:overflowPunct/>
      <w:autoSpaceDE/>
      <w:autoSpaceDN/>
      <w:adjustRightInd/>
      <w:jc w:val="center"/>
      <w:textAlignment w:val="auto"/>
    </w:pPr>
    <w:rPr>
      <w:bCs/>
      <w:sz w:val="22"/>
    </w:rPr>
  </w:style>
  <w:style w:type="paragraph" w:styleId="afff">
    <w:name w:val="List Paragraph"/>
    <w:basedOn w:val="a2"/>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 w:type="paragraph" w:customStyle="1" w:styleId="a">
    <w:name w:val="佐藤２"/>
    <w:basedOn w:val="a2"/>
    <w:rsid w:val="003032D5"/>
    <w:pPr>
      <w:numPr>
        <w:numId w:val="42"/>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3028</TotalTime>
  <Pages>2</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36</cp:revision>
  <cp:lastPrinted>2010-01-07T02:23:00Z</cp:lastPrinted>
  <dcterms:created xsi:type="dcterms:W3CDTF">2022-03-29T03:44:00Z</dcterms:created>
  <dcterms:modified xsi:type="dcterms:W3CDTF">2022-04-25T10:44:00Z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